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16" w:type="pct"/>
        <w:tblInd w:w="-567" w:type="dxa"/>
        <w:tblLook w:val="01E0" w:firstRow="1" w:lastRow="1" w:firstColumn="1" w:lastColumn="1" w:noHBand="0" w:noVBand="0"/>
      </w:tblPr>
      <w:tblGrid>
        <w:gridCol w:w="5100"/>
        <w:gridCol w:w="5788"/>
      </w:tblGrid>
      <w:tr w:rsidR="00D7246E" w:rsidRPr="001737B7" w:rsidTr="00C03596">
        <w:trPr>
          <w:trHeight w:val="1128"/>
        </w:trPr>
        <w:tc>
          <w:tcPr>
            <w:tcW w:w="2342" w:type="pct"/>
          </w:tcPr>
          <w:p w:rsidR="00D7246E" w:rsidRPr="00D7246E" w:rsidRDefault="00D7246E" w:rsidP="00C03596">
            <w:pPr>
              <w:widowControl w:val="0"/>
              <w:spacing w:line="276" w:lineRule="auto"/>
              <w:jc w:val="center"/>
              <w:rPr>
                <w:rFonts w:ascii="Times New Roman" w:hAnsi="Times New Roman" w:cs="Times New Roman"/>
                <w:sz w:val="26"/>
                <w:szCs w:val="26"/>
                <w:lang w:val="nl-NL"/>
              </w:rPr>
            </w:pPr>
            <w:r w:rsidRPr="00D7246E">
              <w:rPr>
                <w:rFonts w:ascii="Times New Roman" w:hAnsi="Times New Roman" w:cs="Times New Roman"/>
                <w:sz w:val="26"/>
                <w:szCs w:val="26"/>
                <w:lang w:val="nl-NL"/>
              </w:rPr>
              <w:t>UBND HUYỆN HÓC MÔN</w:t>
            </w:r>
          </w:p>
          <w:p w:rsidR="00D7246E" w:rsidRPr="00D7246E" w:rsidRDefault="00D7246E" w:rsidP="00C03596">
            <w:pPr>
              <w:widowControl w:val="0"/>
              <w:spacing w:line="276" w:lineRule="auto"/>
              <w:rPr>
                <w:rFonts w:ascii="Times New Roman" w:hAnsi="Times New Roman" w:cs="Times New Roman"/>
                <w:b/>
                <w:sz w:val="26"/>
                <w:szCs w:val="26"/>
                <w:lang w:val="nl-NL"/>
              </w:rPr>
            </w:pPr>
            <w:r w:rsidRPr="00D7246E">
              <w:rPr>
                <w:rFonts w:ascii="Times New Roman" w:hAnsi="Times New Roman" w:cs="Times New Roman"/>
                <w:b/>
                <w:sz w:val="26"/>
                <w:szCs w:val="26"/>
                <w:lang w:val="nl-NL"/>
              </w:rPr>
              <w:t xml:space="preserve">      TRƯỜNG TIỂU HỌC TAM ĐÔNG</w:t>
            </w:r>
          </w:p>
          <w:p w:rsidR="00D7246E" w:rsidRPr="00D7246E" w:rsidRDefault="00D7246E" w:rsidP="00C03596">
            <w:pPr>
              <w:widowControl w:val="0"/>
              <w:spacing w:line="276" w:lineRule="auto"/>
              <w:jc w:val="center"/>
              <w:rPr>
                <w:rFonts w:ascii="Times New Roman" w:hAnsi="Times New Roman" w:cs="Times New Roman"/>
                <w:sz w:val="26"/>
                <w:szCs w:val="26"/>
                <w:lang w:val="nl-NL" w:eastAsia="vi-VN"/>
              </w:rPr>
            </w:pPr>
            <w:r w:rsidRPr="00D7246E">
              <w:rPr>
                <w:rFonts w:ascii="Times New Roman" w:hAnsi="Times New Roman" w:cs="Times New Roman"/>
                <w:noProof/>
                <w:sz w:val="26"/>
                <w:szCs w:val="26"/>
                <w:lang w:val="en-US"/>
              </w:rPr>
              <mc:AlternateContent>
                <mc:Choice Requires="wps">
                  <w:drawing>
                    <wp:anchor distT="4294967286" distB="4294967286" distL="114300" distR="114300" simplePos="0" relativeHeight="251659264" behindDoc="0" locked="0" layoutInCell="1" allowOverlap="1" wp14:anchorId="7DA02F56" wp14:editId="0544F061">
                      <wp:simplePos x="0" y="0"/>
                      <wp:positionH relativeFrom="column">
                        <wp:posOffset>1127760</wp:posOffset>
                      </wp:positionH>
                      <wp:positionV relativeFrom="paragraph">
                        <wp:posOffset>14605</wp:posOffset>
                      </wp:positionV>
                      <wp:extent cx="837565" cy="0"/>
                      <wp:effectExtent l="0" t="0" r="1968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75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A03D7B" id="_x0000_t32" coordsize="21600,21600" o:spt="32" o:oned="t" path="m,l21600,21600e" filled="f">
                      <v:path arrowok="t" fillok="f" o:connecttype="none"/>
                      <o:lock v:ext="edit" shapetype="t"/>
                    </v:shapetype>
                    <v:shape id="Straight Arrow Connector 21" o:spid="_x0000_s1026" type="#_x0000_t32" style="position:absolute;margin-left:88.8pt;margin-top:1.15pt;width:65.95pt;height:0;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">
                      <o:lock v:ext="edit" shapetype="f"/>
                    </v:shape>
                  </w:pict>
                </mc:Fallback>
              </mc:AlternateContent>
            </w:r>
          </w:p>
          <w:p w:rsidR="00D7246E" w:rsidRPr="00D7246E" w:rsidRDefault="00D7246E" w:rsidP="00C03596">
            <w:pPr>
              <w:widowControl w:val="0"/>
              <w:spacing w:line="276" w:lineRule="auto"/>
              <w:jc w:val="center"/>
              <w:rPr>
                <w:rFonts w:ascii="Times New Roman" w:hAnsi="Times New Roman" w:cs="Times New Roman"/>
                <w:sz w:val="26"/>
                <w:szCs w:val="26"/>
                <w:lang w:val="nl-NL" w:eastAsia="vi-VN"/>
              </w:rPr>
            </w:pPr>
            <w:r w:rsidRPr="00D7246E">
              <w:rPr>
                <w:rFonts w:ascii="Times New Roman" w:hAnsi="Times New Roman" w:cs="Times New Roman"/>
                <w:sz w:val="26"/>
                <w:szCs w:val="26"/>
                <w:lang w:val="nl-NL" w:eastAsia="vi-VN"/>
              </w:rPr>
              <w:t xml:space="preserve">Số:     </w:t>
            </w:r>
            <w:r w:rsidRPr="00D7246E">
              <w:rPr>
                <w:rFonts w:ascii="Times New Roman" w:hAnsi="Times New Roman" w:cs="Times New Roman"/>
                <w:sz w:val="26"/>
                <w:szCs w:val="26"/>
                <w:lang w:eastAsia="vi-VN"/>
              </w:rPr>
              <w:t>/</w:t>
            </w:r>
            <w:r w:rsidRPr="00D7246E">
              <w:rPr>
                <w:rFonts w:ascii="Times New Roman" w:hAnsi="Times New Roman" w:cs="Times New Roman"/>
                <w:sz w:val="26"/>
                <w:szCs w:val="26"/>
                <w:lang w:val="nl-NL" w:eastAsia="vi-VN"/>
              </w:rPr>
              <w:t>KH</w:t>
            </w:r>
            <w:r w:rsidRPr="00D7246E">
              <w:rPr>
                <w:rFonts w:ascii="Times New Roman" w:hAnsi="Times New Roman" w:cs="Times New Roman"/>
                <w:sz w:val="26"/>
                <w:szCs w:val="26"/>
                <w:lang w:eastAsia="vi-VN"/>
              </w:rPr>
              <w:t>-</w:t>
            </w:r>
            <w:r w:rsidRPr="00D7246E">
              <w:rPr>
                <w:rFonts w:ascii="Times New Roman" w:hAnsi="Times New Roman" w:cs="Times New Roman"/>
                <w:sz w:val="26"/>
                <w:szCs w:val="26"/>
                <w:lang w:val="nl-NL" w:eastAsia="vi-VN"/>
              </w:rPr>
              <w:t>TiHTĐ</w:t>
            </w:r>
          </w:p>
        </w:tc>
        <w:tc>
          <w:tcPr>
            <w:tcW w:w="2658" w:type="pct"/>
          </w:tcPr>
          <w:p w:rsidR="00D7246E" w:rsidRPr="00D7246E" w:rsidRDefault="00D7246E" w:rsidP="00C03596">
            <w:pPr>
              <w:widowControl w:val="0"/>
              <w:spacing w:line="276" w:lineRule="auto"/>
              <w:jc w:val="both"/>
              <w:rPr>
                <w:rFonts w:ascii="Times New Roman" w:hAnsi="Times New Roman" w:cs="Times New Roman"/>
                <w:b/>
                <w:sz w:val="26"/>
                <w:szCs w:val="26"/>
                <w:lang w:val="nl-NL" w:eastAsia="vi-VN"/>
              </w:rPr>
            </w:pPr>
            <w:r w:rsidRPr="00D7246E">
              <w:rPr>
                <w:rFonts w:ascii="Times New Roman" w:hAnsi="Times New Roman" w:cs="Times New Roman"/>
                <w:b/>
                <w:sz w:val="26"/>
                <w:szCs w:val="26"/>
                <w:lang w:val="nl-NL"/>
              </w:rPr>
              <w:t>CỘNG HÒA XÃ HỘI CHỦ NGHĨA VIỆT NAM</w:t>
            </w:r>
          </w:p>
          <w:p w:rsidR="00D7246E" w:rsidRPr="00D7246E" w:rsidRDefault="00D7246E" w:rsidP="00C03596">
            <w:pPr>
              <w:widowControl w:val="0"/>
              <w:spacing w:line="276" w:lineRule="auto"/>
              <w:jc w:val="center"/>
              <w:rPr>
                <w:rFonts w:ascii="Times New Roman" w:hAnsi="Times New Roman" w:cs="Times New Roman"/>
                <w:b/>
                <w:sz w:val="26"/>
                <w:szCs w:val="26"/>
              </w:rPr>
            </w:pPr>
            <w:r w:rsidRPr="00D7246E">
              <w:rPr>
                <w:rFonts w:ascii="Times New Roman" w:hAnsi="Times New Roman" w:cs="Times New Roman"/>
                <w:b/>
                <w:sz w:val="26"/>
                <w:szCs w:val="26"/>
              </w:rPr>
              <w:t>Độc lập – Tự do – Hạnh phúc</w:t>
            </w:r>
          </w:p>
          <w:p w:rsidR="00D7246E" w:rsidRPr="00D7246E" w:rsidRDefault="00D7246E" w:rsidP="00C03596">
            <w:pPr>
              <w:widowControl w:val="0"/>
              <w:spacing w:line="276" w:lineRule="auto"/>
              <w:jc w:val="both"/>
              <w:rPr>
                <w:rFonts w:ascii="Times New Roman" w:hAnsi="Times New Roman" w:cs="Times New Roman"/>
                <w:i/>
                <w:sz w:val="26"/>
                <w:szCs w:val="26"/>
              </w:rPr>
            </w:pPr>
            <w:r w:rsidRPr="00D7246E">
              <w:rPr>
                <w:rFonts w:ascii="Times New Roman" w:hAnsi="Times New Roman" w:cs="Times New Roman"/>
                <w:noProof/>
                <w:sz w:val="26"/>
                <w:szCs w:val="26"/>
                <w:lang w:val="en-US"/>
              </w:rPr>
              <mc:AlternateContent>
                <mc:Choice Requires="wps">
                  <w:drawing>
                    <wp:anchor distT="4294967286" distB="4294967286" distL="114300" distR="114300" simplePos="0" relativeHeight="251660288" behindDoc="0" locked="0" layoutInCell="1" allowOverlap="1" wp14:anchorId="40C66FB6" wp14:editId="17B874FB">
                      <wp:simplePos x="0" y="0"/>
                      <wp:positionH relativeFrom="column">
                        <wp:posOffset>754380</wp:posOffset>
                      </wp:positionH>
                      <wp:positionV relativeFrom="paragraph">
                        <wp:posOffset>16509</wp:posOffset>
                      </wp:positionV>
                      <wp:extent cx="2085340" cy="0"/>
                      <wp:effectExtent l="0" t="0" r="2921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53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85796A" id="Straight Arrow Connector 22" o:spid="_x0000_s1026" type="#_x0000_t32" style="position:absolute;margin-left:59.4pt;margin-top:1.3pt;width:164.2pt;height:0;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">
                      <o:lock v:ext="edit" shapetype="f"/>
                    </v:shape>
                  </w:pict>
                </mc:Fallback>
              </mc:AlternateContent>
            </w:r>
            <w:r w:rsidRPr="00D7246E">
              <w:rPr>
                <w:rFonts w:ascii="Times New Roman" w:hAnsi="Times New Roman" w:cs="Times New Roman"/>
                <w:i/>
                <w:sz w:val="26"/>
                <w:szCs w:val="26"/>
              </w:rPr>
              <w:t xml:space="preserve">              </w:t>
            </w:r>
          </w:p>
          <w:p w:rsidR="00D7246E" w:rsidRPr="00A046FA" w:rsidRDefault="00D7246E" w:rsidP="00C03596">
            <w:pPr>
              <w:widowControl w:val="0"/>
              <w:spacing w:line="276" w:lineRule="auto"/>
              <w:jc w:val="center"/>
              <w:rPr>
                <w:rFonts w:ascii="Times New Roman" w:hAnsi="Times New Roman" w:cs="Times New Roman"/>
                <w:i/>
                <w:sz w:val="26"/>
                <w:szCs w:val="26"/>
                <w:lang w:val="en-US"/>
              </w:rPr>
            </w:pPr>
            <w:r w:rsidRPr="00D7246E">
              <w:rPr>
                <w:rFonts w:ascii="Times New Roman" w:hAnsi="Times New Roman" w:cs="Times New Roman"/>
                <w:i/>
                <w:sz w:val="26"/>
                <w:szCs w:val="26"/>
              </w:rPr>
              <w:t>Hóc Môn, ngày 22 tháng 1</w:t>
            </w:r>
            <w:r w:rsidR="00A046FA">
              <w:rPr>
                <w:rFonts w:ascii="Times New Roman" w:hAnsi="Times New Roman" w:cs="Times New Roman"/>
                <w:i/>
                <w:sz w:val="26"/>
                <w:szCs w:val="26"/>
                <w:lang w:val="en-US"/>
              </w:rPr>
              <w:t xml:space="preserve">0 </w:t>
            </w:r>
            <w:r w:rsidRPr="00D7246E">
              <w:rPr>
                <w:rFonts w:ascii="Times New Roman" w:hAnsi="Times New Roman" w:cs="Times New Roman"/>
                <w:i/>
                <w:sz w:val="26"/>
                <w:szCs w:val="26"/>
              </w:rPr>
              <w:t>năm 202</w:t>
            </w:r>
            <w:r w:rsidR="00A046FA">
              <w:rPr>
                <w:rFonts w:ascii="Times New Roman" w:hAnsi="Times New Roman" w:cs="Times New Roman"/>
                <w:i/>
                <w:sz w:val="26"/>
                <w:szCs w:val="26"/>
                <w:lang w:val="en-US"/>
              </w:rPr>
              <w:t>2</w:t>
            </w:r>
          </w:p>
          <w:p w:rsidR="00D7246E" w:rsidRPr="00D7246E" w:rsidRDefault="00D7246E" w:rsidP="00C03596">
            <w:pPr>
              <w:widowControl w:val="0"/>
              <w:spacing w:line="276" w:lineRule="auto"/>
              <w:jc w:val="both"/>
              <w:rPr>
                <w:rFonts w:ascii="Times New Roman" w:hAnsi="Times New Roman" w:cs="Times New Roman"/>
                <w:i/>
                <w:sz w:val="26"/>
                <w:szCs w:val="26"/>
                <w:lang w:eastAsia="vi-VN"/>
              </w:rPr>
            </w:pPr>
          </w:p>
        </w:tc>
      </w:tr>
    </w:tbl>
    <w:p w:rsidR="00D7246E" w:rsidRPr="00D7246E" w:rsidRDefault="00D7246E" w:rsidP="00EA067F">
      <w:pPr>
        <w:spacing w:line="276" w:lineRule="auto"/>
        <w:jc w:val="center"/>
        <w:rPr>
          <w:rFonts w:ascii="Times New Roman" w:hAnsi="Times New Roman" w:cs="Times New Roman"/>
          <w:b/>
          <w:sz w:val="28"/>
          <w:szCs w:val="28"/>
        </w:rPr>
      </w:pPr>
      <w:r w:rsidRPr="00D7246E">
        <w:rPr>
          <w:rFonts w:ascii="Times New Roman" w:hAnsi="Times New Roman" w:cs="Times New Roman"/>
          <w:b/>
          <w:sz w:val="28"/>
          <w:szCs w:val="28"/>
        </w:rPr>
        <w:t>KẾ HOẠCH</w:t>
      </w:r>
    </w:p>
    <w:p w:rsidR="00D7246E" w:rsidRPr="00D7246E" w:rsidRDefault="00D7246E" w:rsidP="00EA067F">
      <w:pPr>
        <w:spacing w:line="276" w:lineRule="auto"/>
        <w:jc w:val="center"/>
        <w:rPr>
          <w:rFonts w:ascii="Times New Roman" w:hAnsi="Times New Roman" w:cs="Times New Roman"/>
          <w:b/>
          <w:sz w:val="28"/>
          <w:szCs w:val="28"/>
        </w:rPr>
      </w:pPr>
      <w:r w:rsidRPr="00D7246E">
        <w:rPr>
          <w:rFonts w:ascii="Times New Roman" w:hAnsi="Times New Roman" w:cs="Times New Roman"/>
          <w:b/>
          <w:sz w:val="28"/>
          <w:szCs w:val="28"/>
        </w:rPr>
        <w:t>Bồi dưỡng thường xuyên cán bộ quản lý, giáo viên năm học 2022-2023</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Quyết định số 4660/QĐ-BGDĐT ngày 04 tháng 12 năm 2019 của Bộ trưởng Bộ Giáo dục và Đào tạo về việc ban hành danh mục các mô đun bồi dưỡng giáo viên cốt cán và cán bộ quản lý cơ sở giáo dục phổ thông cốt cán để thực hiện công tác bồi dưỡng thường xuyên giáo viên, cán bộ quản lý cơ sở giáo dục phổ thông;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Thông tư số 17/2019/TT-BGDĐT ngày 01 tháng 11 năm 2019 của Bộ trưởng Bộ Giáo dục và Đào tạo ban hành Chương trình bồi dưỡng thường xuyên giáo viên cơ sở giáo dục phổ thông;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Thông tư số 18/2019/TT-BGDĐT ngày 01 tháng 11 năm 2019 của Bộ trưởng Bộ Giáo dục và Đào tạo ban hành Chương trình bồi dưỡng thường xuyên cán bộ quản lý cơ sở giáo dục phổ thông;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Thông tư số 19/2019/TT-BGDĐT ngày 12 tháng 11 tháng 2019 của Bộ trưởng Bộ Giáo dục và Đào tạo ban hành Quy chế bồi dưỡng thường xuyên giáo viên, cán bộ quản lý cơ sở giáo dục mầm non, cơ sở giáo dục phổ thông và giáo viên trung tâm giáo dục thường xuyên;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Công văn số 1595/BGDĐT-NGCBQLGD ngày 08 tháng 5 năm 2020 của Bộ Giáo dục và Đào tạo về việc hướng dẫn đánh giá theo Chuẩn và bồi dưỡng thường xuyên giáo viên, cán bộ quản lý cơ sở giáo dục mầm non, phổ thông;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Công văn số 1201/BGDĐT-GDTrH ngày 08 tháng 4 năm 2020 của Bộ Giáo dục và Đào tạo về việc bồi dưỡng giáo viên, cán bộ quản lý cơ sở giáo dục phổ thông triển khai Chương trình giáo dục phổ thông 2018;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lastRenderedPageBreak/>
        <w:t xml:space="preserve">Căn cứ Kế hoạch số 577/KH-BGDĐT ngày 18 tháng 6 năm 2021 của Bộ Giáo dục và Đào tạo về Kế hoạch tổ chức tập huấn triển khai môn Ngoại ngữ trong CTGDPT 2018 cho giáo viên cốt cán các cấp học phổ thông (mô đun 1 và mô đun 4);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Công văn số 942/BGDĐT-NGCBQL ngày 16 tháng 6 năm 2022 của Bộ Giáo dục và Đào tạo về việc bồi dưỡng giáo viên, cán bộ quản lý cơ sở giáo dục phổ thông thực hiện chương trình giáo dục phổ thông 2018 và xây dựng báo cáo TEMIS năm 2022;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Căn cứ Kế hoạch năm 2022 của Phòng GDĐT </w:t>
      </w:r>
      <w:r>
        <w:rPr>
          <w:rFonts w:ascii="Times New Roman" w:hAnsi="Times New Roman" w:cs="Times New Roman"/>
          <w:sz w:val="28"/>
          <w:szCs w:val="28"/>
          <w:lang w:val="en-US"/>
        </w:rPr>
        <w:t>huyện Hóc Môn v</w:t>
      </w:r>
      <w:r w:rsidRPr="00D7246E">
        <w:rPr>
          <w:rFonts w:ascii="Times New Roman" w:hAnsi="Times New Roman" w:cs="Times New Roman"/>
          <w:sz w:val="28"/>
          <w:szCs w:val="28"/>
        </w:rPr>
        <w:t>ề việc Bồi dưỡng thường xuyên cán bộ quản lý, giáo viên các cơ sở giáo dục mầm non, tiểu học, trung học cơ sở năm họ</w:t>
      </w:r>
      <w:r>
        <w:rPr>
          <w:rFonts w:ascii="Times New Roman" w:hAnsi="Times New Roman" w:cs="Times New Roman"/>
          <w:sz w:val="28"/>
          <w:szCs w:val="28"/>
        </w:rPr>
        <w:t>c 2022-</w:t>
      </w:r>
      <w:r w:rsidRPr="00D7246E">
        <w:rPr>
          <w:rFonts w:ascii="Times New Roman" w:hAnsi="Times New Roman" w:cs="Times New Roman"/>
          <w:sz w:val="28"/>
          <w:szCs w:val="28"/>
        </w:rPr>
        <w:t xml:space="preserve">2023. </w:t>
      </w:r>
    </w:p>
    <w:p w:rsidR="00D7246E" w:rsidRDefault="00D7246E" w:rsidP="00EA067F">
      <w:pPr>
        <w:spacing w:line="276" w:lineRule="auto"/>
        <w:ind w:firstLine="720"/>
        <w:rPr>
          <w:rFonts w:ascii="Times New Roman" w:hAnsi="Times New Roman" w:cs="Times New Roman"/>
          <w:sz w:val="28"/>
          <w:szCs w:val="28"/>
        </w:rPr>
      </w:pPr>
      <w:r w:rsidRPr="00D7246E">
        <w:rPr>
          <w:rFonts w:ascii="Times New Roman" w:hAnsi="Times New Roman" w:cs="Times New Roman"/>
          <w:sz w:val="28"/>
          <w:szCs w:val="28"/>
        </w:rPr>
        <w:t xml:space="preserve">Trường </w:t>
      </w:r>
      <w:r>
        <w:rPr>
          <w:rFonts w:ascii="Times New Roman" w:hAnsi="Times New Roman" w:cs="Times New Roman"/>
          <w:sz w:val="28"/>
          <w:szCs w:val="28"/>
          <w:lang w:val="en-US"/>
        </w:rPr>
        <w:t>tiểu học Tam Đông</w:t>
      </w:r>
      <w:r w:rsidRPr="00D7246E">
        <w:rPr>
          <w:rFonts w:ascii="Times New Roman" w:hAnsi="Times New Roman" w:cs="Times New Roman"/>
          <w:sz w:val="28"/>
          <w:szCs w:val="28"/>
        </w:rPr>
        <w:t xml:space="preserve"> xây dựng Kế hoạch bồi dưỡng thường xuyên cán bộ quản lý, giáo viên năm học 2022-2023 như sau: </w:t>
      </w:r>
    </w:p>
    <w:p w:rsidR="00EA067F" w:rsidRDefault="00D7246E" w:rsidP="00EA067F">
      <w:pPr>
        <w:pStyle w:val="ListParagraph"/>
        <w:numPr>
          <w:ilvl w:val="0"/>
          <w:numId w:val="2"/>
        </w:numPr>
        <w:spacing w:line="276" w:lineRule="auto"/>
        <w:rPr>
          <w:rFonts w:ascii="Times New Roman" w:hAnsi="Times New Roman" w:cs="Times New Roman"/>
          <w:b/>
          <w:sz w:val="28"/>
          <w:szCs w:val="28"/>
        </w:rPr>
      </w:pPr>
      <w:r w:rsidRPr="00EA067F">
        <w:rPr>
          <w:rFonts w:ascii="Times New Roman" w:hAnsi="Times New Roman" w:cs="Times New Roman"/>
          <w:b/>
          <w:sz w:val="28"/>
          <w:szCs w:val="28"/>
        </w:rPr>
        <w:t>MỤC TIÊU</w:t>
      </w:r>
    </w:p>
    <w:p w:rsidR="00EA067F" w:rsidRDefault="00EA067F" w:rsidP="00EA067F">
      <w:pPr>
        <w:spacing w:line="276" w:lineRule="auto"/>
        <w:ind w:firstLine="360"/>
        <w:rPr>
          <w:rFonts w:ascii="Times New Roman" w:hAnsi="Times New Roman" w:cs="Times New Roman"/>
          <w:sz w:val="28"/>
          <w:szCs w:val="28"/>
        </w:rPr>
      </w:pPr>
      <w:r w:rsidRPr="00EA067F">
        <w:rPr>
          <w:rFonts w:ascii="Times New Roman" w:hAnsi="Times New Roman" w:cs="Times New Roman"/>
          <w:sz w:val="28"/>
          <w:szCs w:val="28"/>
          <w:lang w:val="en-US"/>
        </w:rPr>
        <w:t>T</w:t>
      </w:r>
      <w:r w:rsidR="00D7246E" w:rsidRPr="00EA067F">
        <w:rPr>
          <w:rFonts w:ascii="Times New Roman" w:hAnsi="Times New Roman" w:cs="Times New Roman"/>
          <w:sz w:val="28"/>
          <w:szCs w:val="28"/>
        </w:rPr>
        <w:t>riển khai thực hiện BDTX cho CBQL, GV đáp ứng yêu cầu vị trí việc làm, yêu cầu phát triển giáo dục giáo dục phổ thông và yêu cầu chuẩn nghề nghiệ</w:t>
      </w:r>
      <w:r>
        <w:rPr>
          <w:rFonts w:ascii="Times New Roman" w:hAnsi="Times New Roman" w:cs="Times New Roman"/>
          <w:sz w:val="28"/>
          <w:szCs w:val="28"/>
        </w:rPr>
        <w:t>p.</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 xml:space="preserve">Qua việc BDTX để phát triển năng lực tự học, tự bồi dưỡng, tự đánh giá công tác BDTX của CBQL, GV; năng lực tổ chức, quản lý hoạt động BDTX CBQL, GV của các cơ sở giáo dục MN, cơ sở giáo dục phổ thông. </w:t>
      </w:r>
    </w:p>
    <w:p w:rsidR="00EA067F" w:rsidRPr="00EA067F" w:rsidRDefault="00D7246E" w:rsidP="00EA067F">
      <w:pPr>
        <w:pStyle w:val="ListParagraph"/>
        <w:numPr>
          <w:ilvl w:val="0"/>
          <w:numId w:val="2"/>
        </w:numPr>
        <w:spacing w:line="276" w:lineRule="auto"/>
        <w:rPr>
          <w:rFonts w:ascii="Times New Roman" w:hAnsi="Times New Roman" w:cs="Times New Roman"/>
          <w:b/>
          <w:sz w:val="28"/>
          <w:szCs w:val="28"/>
        </w:rPr>
      </w:pPr>
      <w:r w:rsidRPr="00EA067F">
        <w:rPr>
          <w:rFonts w:ascii="Times New Roman" w:hAnsi="Times New Roman" w:cs="Times New Roman"/>
          <w:b/>
          <w:sz w:val="28"/>
          <w:szCs w:val="28"/>
        </w:rPr>
        <w:t>YÊU CẦU VỀ BỒI DƯỠNG</w:t>
      </w:r>
      <w:r w:rsidRPr="00EA067F">
        <w:rPr>
          <w:rFonts w:ascii="Times New Roman" w:hAnsi="Times New Roman" w:cs="Times New Roman"/>
          <w:sz w:val="28"/>
          <w:szCs w:val="28"/>
        </w:rPr>
        <w:t xml:space="preserve"> </w:t>
      </w:r>
    </w:p>
    <w:p w:rsidR="00EA067F" w:rsidRDefault="00D7246E" w:rsidP="00EA067F">
      <w:pPr>
        <w:spacing w:line="276" w:lineRule="auto"/>
        <w:ind w:firstLine="360"/>
        <w:rPr>
          <w:rFonts w:ascii="Times New Roman" w:hAnsi="Times New Roman" w:cs="Times New Roman"/>
          <w:sz w:val="28"/>
          <w:szCs w:val="28"/>
        </w:rPr>
      </w:pPr>
      <w:r w:rsidRPr="00EA067F">
        <w:rPr>
          <w:rFonts w:ascii="Times New Roman" w:hAnsi="Times New Roman" w:cs="Times New Roman"/>
          <w:sz w:val="28"/>
          <w:szCs w:val="28"/>
        </w:rPr>
        <w:t>Công tác BDTX đối với CBQL và GV cần thực hiện tốt các yêu cầu về nội dung bồi dưỡng, điều kiện tổ chức, hình thức bồi dưỡng phù hợp với tình hình thực tế địa phương và nhiệm vụ năm học. Chú ý việc xây dựng kế hoạch và tổ chức bồi dưỡng một cách khoa học, hiệu quả; thực hiện nghiêm túc việc đánh giá và cấp Chứng chỉ kết quả bồi dưỡng theo quy đị</w:t>
      </w:r>
      <w:r w:rsidR="00EA067F">
        <w:rPr>
          <w:rFonts w:ascii="Times New Roman" w:hAnsi="Times New Roman" w:cs="Times New Roman"/>
          <w:sz w:val="28"/>
          <w:szCs w:val="28"/>
        </w:rPr>
        <w:t>nh.</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 xml:space="preserve">Phát huy tinh thần trách nhiệm của CBQL và GV trong việc BDTX, xem công tác BDTX là nhiệm vụ và trách nhiệm để từ đó CBQL, GV xác định rõ mục đích, yêu cầu, nội dung cần bồi dưỡng, tự giác, chủ động xây dựng kế hoạch, lựa chọn phương pháp bồi dưỡng thích hợp, hiệu quả. </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lastRenderedPageBreak/>
        <w:t xml:space="preserve">Nội dung bồi dưỡng phải tập trung vào nâng cao năng lực nghề nghiệp, phẩm chất đạo đức của CBQL, GV để đáp ứng yêu cầu chuẩn nghề nghiệp và tiêu chuẩn chức danh nhằm thực hiện tốt các nhiệm vụ theo hạng chức danh nghề nghiệp, làm căn cứ để cá nhân đề xuất các nội dung bồi dưỡng phù hợp. Việc triển khai công tác BDTX phải gắn kết chặt chẽ với việc đánh giá CBQL, GV theo chuẩn và theo chỉ đạo đổi mới giáo dục của ngành để từng bước nâng cao năng lực đội ngũ nhà giáo, CBQL giáo dục qua từng năm. </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 xml:space="preserve">Việc lựa chọn chuyên đề bồi dưỡng cần chú ý đến các nội dung gắn với việc đổi mới chương trình, sách giáo khoa và phù hợp với đặc thù môn học của từng giáo viên. Nhà trường chủ động xây dựng kế hoạch, tài liệu và tổ chức thực hiện nội dung bồi dưỡng 2 thiết thực, hiệu quả. Tăng cường ứng dụng công nghệ thông tin trong việc quản lý, tổ chức, đánh giá kết quả BDTX. </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 xml:space="preserve">Trong quá trình BDTX, CBQL và GV mở rộng những vấn đề liên quan đến đổi mới trong giáo dục, nắm bắt tinh thần, nội dung định hướng đổi mới chương trình, sách giáo khoa; khắc sâu một số kỹ năng chuyên môn và phương pháp giảng dạy, kiểm tra, đánh giá học sinh phổ thông theo hướng phát triển phẩm chất, năng lực; chú trọng đến việc tổ chức hoạt động trải nghiệm, giáo dục kỹ năng sống trong nhà trường; đổi mới sinh hoạt chuyên môn một cách thực chất, tránh hình thức nhằm nâng cao hiệu quả giáo dục của nhà trường. </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 xml:space="preserve">Phát triển năng lực tự học, tự bồi dưỡng của CBQL và GV; năng lực tự đánh giá hiệu quả BDTX; năng lực tổ chức, quản lý hoạt động tự học, tự bồi 3 dưỡng của CBQL, GV trong nhà trường và các cấp quản lý giáo dục. Tăng cường ứng dụng công nghệ thông tin trong công tác BDTX, kết hợp các hình thức bồi dưỡng trực tiếp, trực tuyến và tự nghiên cứu. </w:t>
      </w:r>
    </w:p>
    <w:p w:rsidR="00EA067F" w:rsidRDefault="00D7246E" w:rsidP="00EA067F">
      <w:pPr>
        <w:spacing w:line="276" w:lineRule="auto"/>
        <w:ind w:firstLine="360"/>
        <w:rPr>
          <w:rFonts w:ascii="Times New Roman" w:hAnsi="Times New Roman" w:cs="Times New Roman"/>
          <w:b/>
          <w:sz w:val="28"/>
          <w:szCs w:val="28"/>
        </w:rPr>
      </w:pPr>
      <w:r w:rsidRPr="00D7246E">
        <w:rPr>
          <w:rFonts w:ascii="Times New Roman" w:hAnsi="Times New Roman" w:cs="Times New Roman"/>
          <w:sz w:val="28"/>
          <w:szCs w:val="28"/>
        </w:rPr>
        <w:t>Tăng cường công tác quản lý, kiểm tra việc tự học, tự bồi dưỡng của GV và CBQL. Thực hiện nghiêm túc, kịp thời công tác báo cáo theo quy định.</w:t>
      </w:r>
    </w:p>
    <w:p w:rsidR="008E6A3A" w:rsidRPr="00EA067F" w:rsidRDefault="00D7246E" w:rsidP="00EA067F">
      <w:pPr>
        <w:spacing w:line="276" w:lineRule="auto"/>
        <w:ind w:firstLine="360"/>
        <w:rPr>
          <w:rFonts w:ascii="Times New Roman" w:hAnsi="Times New Roman" w:cs="Times New Roman"/>
          <w:b/>
          <w:sz w:val="28"/>
          <w:szCs w:val="28"/>
        </w:rPr>
      </w:pPr>
      <w:r w:rsidRPr="00EA067F">
        <w:rPr>
          <w:rFonts w:ascii="Times New Roman" w:hAnsi="Times New Roman" w:cs="Times New Roman"/>
          <w:b/>
          <w:sz w:val="28"/>
          <w:szCs w:val="28"/>
        </w:rPr>
        <w:t xml:space="preserve">III. </w:t>
      </w:r>
      <w:r w:rsidR="00EA067F">
        <w:rPr>
          <w:rFonts w:ascii="Times New Roman" w:hAnsi="Times New Roman" w:cs="Times New Roman"/>
          <w:b/>
          <w:sz w:val="28"/>
          <w:szCs w:val="28"/>
          <w:lang w:val="en-US"/>
        </w:rPr>
        <w:t xml:space="preserve">   </w:t>
      </w:r>
      <w:r w:rsidRPr="00EA067F">
        <w:rPr>
          <w:rFonts w:ascii="Times New Roman" w:hAnsi="Times New Roman" w:cs="Times New Roman"/>
          <w:b/>
          <w:sz w:val="28"/>
          <w:szCs w:val="28"/>
        </w:rPr>
        <w:t xml:space="preserve">ĐỐI TƯỢNG, NỘI DUNG, THỜI LƯỢNG, LOẠI HÌNH, THỜI GIAN BỒI DƯỠNG </w:t>
      </w:r>
    </w:p>
    <w:p w:rsidR="00EA067F" w:rsidRPr="00EA067F" w:rsidRDefault="00D7246E" w:rsidP="00EA067F">
      <w:pPr>
        <w:pStyle w:val="ListParagraph"/>
        <w:numPr>
          <w:ilvl w:val="0"/>
          <w:numId w:val="3"/>
        </w:numPr>
        <w:spacing w:line="276" w:lineRule="auto"/>
        <w:rPr>
          <w:rFonts w:ascii="Times New Roman" w:hAnsi="Times New Roman" w:cs="Times New Roman"/>
          <w:b/>
          <w:sz w:val="28"/>
          <w:szCs w:val="28"/>
        </w:rPr>
      </w:pPr>
      <w:r w:rsidRPr="00EA067F">
        <w:rPr>
          <w:rFonts w:ascii="Times New Roman" w:hAnsi="Times New Roman" w:cs="Times New Roman"/>
          <w:b/>
          <w:sz w:val="28"/>
          <w:szCs w:val="28"/>
        </w:rPr>
        <w:t xml:space="preserve">Đối tượng </w:t>
      </w:r>
    </w:p>
    <w:p w:rsidR="00EA067F" w:rsidRDefault="00EA067F" w:rsidP="00EA067F">
      <w:pPr>
        <w:pStyle w:val="ListParagraph"/>
        <w:spacing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D7246E" w:rsidRPr="00EA067F">
        <w:rPr>
          <w:rFonts w:ascii="Times New Roman" w:hAnsi="Times New Roman" w:cs="Times New Roman"/>
          <w:sz w:val="28"/>
          <w:szCs w:val="28"/>
        </w:rPr>
        <w:t xml:space="preserve">Hiệu trưởng, Phó Hiệu trưởng (sau đây gọi </w:t>
      </w:r>
      <w:proofErr w:type="gramStart"/>
      <w:r w:rsidR="00D7246E" w:rsidRPr="00EA067F">
        <w:rPr>
          <w:rFonts w:ascii="Times New Roman" w:hAnsi="Times New Roman" w:cs="Times New Roman"/>
          <w:sz w:val="28"/>
          <w:szCs w:val="28"/>
        </w:rPr>
        <w:t>chung</w:t>
      </w:r>
      <w:proofErr w:type="gramEnd"/>
      <w:r w:rsidR="00D7246E" w:rsidRPr="00EA067F">
        <w:rPr>
          <w:rFonts w:ascii="Times New Roman" w:hAnsi="Times New Roman" w:cs="Times New Roman"/>
          <w:sz w:val="28"/>
          <w:szCs w:val="28"/>
        </w:rPr>
        <w:t xml:space="preserve"> là cán bộ quản lý). - Giáo viên đang giảng dạy (sau đây gọi chung là giáo viên).</w:t>
      </w:r>
    </w:p>
    <w:p w:rsidR="008E6A3A" w:rsidRPr="00EA067F" w:rsidRDefault="00EA067F" w:rsidP="00EA067F">
      <w:pPr>
        <w:spacing w:line="276" w:lineRule="auto"/>
        <w:rPr>
          <w:rFonts w:ascii="Times New Roman" w:hAnsi="Times New Roman" w:cs="Times New Roman"/>
          <w:b/>
          <w:sz w:val="28"/>
          <w:szCs w:val="28"/>
        </w:rPr>
      </w:pPr>
      <w:r>
        <w:rPr>
          <w:rFonts w:ascii="Times New Roman" w:hAnsi="Times New Roman" w:cs="Times New Roman"/>
          <w:sz w:val="28"/>
          <w:szCs w:val="28"/>
          <w:lang w:val="en-US"/>
        </w:rPr>
        <w:t xml:space="preserve">   </w:t>
      </w:r>
      <w:r w:rsidR="00D7246E" w:rsidRPr="00EA067F">
        <w:rPr>
          <w:rFonts w:ascii="Times New Roman" w:hAnsi="Times New Roman" w:cs="Times New Roman"/>
          <w:sz w:val="28"/>
          <w:szCs w:val="28"/>
        </w:rPr>
        <w:t xml:space="preserve"> </w:t>
      </w:r>
      <w:r w:rsidR="00D7246E" w:rsidRPr="00EA067F">
        <w:rPr>
          <w:rFonts w:ascii="Times New Roman" w:hAnsi="Times New Roman" w:cs="Times New Roman"/>
          <w:b/>
          <w:sz w:val="28"/>
          <w:szCs w:val="28"/>
        </w:rPr>
        <w:t>2. Nội dung và thời lượng bồi dưỡng</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lastRenderedPageBreak/>
        <w:t xml:space="preserve"> 2.1. Chương trình bồi dưỡng 01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Nội dung:</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Đối với CBQL: Mô đun 9, “Ứng dụng công nghệ thông tin, truyền thông trong quản trị trường </w:t>
      </w:r>
      <w:r w:rsidR="008E6A3A">
        <w:rPr>
          <w:rFonts w:ascii="Times New Roman" w:hAnsi="Times New Roman" w:cs="Times New Roman"/>
          <w:sz w:val="28"/>
          <w:szCs w:val="28"/>
          <w:lang w:val="en-US"/>
        </w:rPr>
        <w:t>tiểu học</w:t>
      </w:r>
      <w:r w:rsidRPr="00D7246E">
        <w:rPr>
          <w:rFonts w:ascii="Times New Roman" w:hAnsi="Times New Roman" w:cs="Times New Roman"/>
          <w:sz w:val="28"/>
          <w:szCs w:val="28"/>
        </w:rPr>
        <w:t xml:space="preserve">”.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Đối với GV (Kể cả GV môn Tiếng anh): Mô đun 9, “Ứng dụng công nghệ thông tin, khai thác và sử dụng thiết bị công nghệ trong dạy học và giáo dục học sinh”. - </w:t>
      </w:r>
      <w:r w:rsidR="008E6A3A">
        <w:rPr>
          <w:rFonts w:ascii="Times New Roman" w:hAnsi="Times New Roman" w:cs="Times New Roman"/>
          <w:sz w:val="28"/>
          <w:szCs w:val="28"/>
          <w:lang w:val="en-US"/>
        </w:rPr>
        <w:t xml:space="preserve">- - </w:t>
      </w:r>
      <w:r w:rsidRPr="00D7246E">
        <w:rPr>
          <w:rFonts w:ascii="Times New Roman" w:hAnsi="Times New Roman" w:cs="Times New Roman"/>
          <w:sz w:val="28"/>
          <w:szCs w:val="28"/>
        </w:rPr>
        <w:t xml:space="preserve">Thời lượng: 40 tiết.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2.2. Chương trình bồi dưỡng 02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a) Chuyên đề 01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Nội dung: CBQL, GV thực hiện bồi dưỡng các chuyên đề bồi dưỡng Chính trị hè 2022 và hướng dẫn thực hiện nhiệm vụ giáo dục </w:t>
      </w:r>
      <w:r w:rsidR="008E6A3A">
        <w:rPr>
          <w:rFonts w:ascii="Times New Roman" w:hAnsi="Times New Roman" w:cs="Times New Roman"/>
          <w:sz w:val="28"/>
          <w:szCs w:val="28"/>
          <w:lang w:val="en-US"/>
        </w:rPr>
        <w:t>tiểu học</w:t>
      </w:r>
      <w:r w:rsidRPr="00D7246E">
        <w:rPr>
          <w:rFonts w:ascii="Times New Roman" w:hAnsi="Times New Roman" w:cs="Times New Roman"/>
          <w:sz w:val="28"/>
          <w:szCs w:val="28"/>
        </w:rPr>
        <w:t xml:space="preserve"> năm học 2022-2023.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Thời lượng: 10 tiết.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b) Chuyên đề 02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Nội dung: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Đối với CBQL: Mô đun 6: “Xây dựng văn hoá nhà trường ở trường </w:t>
      </w:r>
      <w:r w:rsidR="008E6A3A">
        <w:rPr>
          <w:rFonts w:ascii="Times New Roman" w:hAnsi="Times New Roman" w:cs="Times New Roman"/>
          <w:sz w:val="28"/>
          <w:szCs w:val="28"/>
          <w:lang w:val="en-US"/>
        </w:rPr>
        <w:t>tiểu học</w:t>
      </w:r>
      <w:r w:rsidRPr="00D7246E">
        <w:rPr>
          <w:rFonts w:ascii="Times New Roman" w:hAnsi="Times New Roman" w:cs="Times New Roman"/>
          <w:sz w:val="28"/>
          <w:szCs w:val="28"/>
        </w:rPr>
        <w:t xml:space="preserve">”.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Đối với GV (kể cả giáo viên Tiếng anh): Mô đun 6: “Xây dựng kế hoạch văn hoá nhà trường ở trường </w:t>
      </w:r>
      <w:r w:rsidR="008E6A3A">
        <w:rPr>
          <w:rFonts w:ascii="Times New Roman" w:hAnsi="Times New Roman" w:cs="Times New Roman"/>
          <w:sz w:val="28"/>
          <w:szCs w:val="28"/>
          <w:lang w:val="en-US"/>
        </w:rPr>
        <w:t>tiểu học</w:t>
      </w:r>
      <w:r w:rsidRPr="00D7246E">
        <w:rPr>
          <w:rFonts w:ascii="Times New Roman" w:hAnsi="Times New Roman" w:cs="Times New Roman"/>
          <w:sz w:val="28"/>
          <w:szCs w:val="28"/>
        </w:rPr>
        <w:t xml:space="preserve">”.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Thời lượng: 30 tiết. </w:t>
      </w:r>
    </w:p>
    <w:p w:rsidR="008E6A3A" w:rsidRPr="00EA067F" w:rsidRDefault="00EA067F" w:rsidP="00EA067F">
      <w:pPr>
        <w:spacing w:line="276" w:lineRule="auto"/>
        <w:rPr>
          <w:rFonts w:ascii="Times New Roman" w:hAnsi="Times New Roman" w:cs="Times New Roman"/>
          <w:sz w:val="28"/>
          <w:szCs w:val="28"/>
        </w:rPr>
      </w:pPr>
      <w:r>
        <w:rPr>
          <w:rFonts w:ascii="Times New Roman" w:hAnsi="Times New Roman" w:cs="Times New Roman"/>
          <w:sz w:val="28"/>
          <w:szCs w:val="28"/>
          <w:lang w:val="en-US"/>
        </w:rPr>
        <w:t>2.</w:t>
      </w:r>
      <w:r w:rsidR="00D7246E" w:rsidRPr="00EA067F">
        <w:rPr>
          <w:rFonts w:ascii="Times New Roman" w:hAnsi="Times New Roman" w:cs="Times New Roman"/>
          <w:sz w:val="28"/>
          <w:szCs w:val="28"/>
        </w:rPr>
        <w:t xml:space="preserve">3. Chương trình bồi dưỡng 03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Nội dung: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Cán bộ quản lý tự chọn các mô đun bồi dưỡng nhằm nâng cao phẩm chất, năng lực lãnh đạo, quản trị nhà trường được quy định tại Khoản 3 Mục III của Chương trình BDTX cán bộ quản lý cơ sở giáo dục phổ thông ban hành kèm theo Thông tư số</w:t>
      </w:r>
      <w:r w:rsidR="008E6A3A">
        <w:rPr>
          <w:rFonts w:ascii="Times New Roman" w:hAnsi="Times New Roman" w:cs="Times New Roman"/>
          <w:sz w:val="28"/>
          <w:szCs w:val="28"/>
        </w:rPr>
        <w:t xml:space="preserve"> </w:t>
      </w:r>
      <w:r w:rsidR="00A046FA">
        <w:rPr>
          <w:rFonts w:ascii="Times New Roman" w:hAnsi="Times New Roman" w:cs="Times New Roman"/>
          <w:sz w:val="28"/>
          <w:szCs w:val="28"/>
          <w:lang w:val="en-US"/>
        </w:rPr>
        <w:t>20</w:t>
      </w:r>
      <w:r w:rsidRPr="00D7246E">
        <w:rPr>
          <w:rFonts w:ascii="Times New Roman" w:hAnsi="Times New Roman" w:cs="Times New Roman"/>
          <w:sz w:val="28"/>
          <w:szCs w:val="28"/>
        </w:rPr>
        <w:t xml:space="preserve">/2019/TT-BGDĐT ngày 01 tháng 11 năm 2019 của Bộ trưởng Bộ GD&amp;ĐT. </w:t>
      </w:r>
    </w:p>
    <w:p w:rsidR="008E6A3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Giáo viên tự chọn các mô đun bồi dưỡng nhằm phát triển phẩm chất, năng lực nghề nghiệp đáp ứng yêu cầu vị trí việc làm được quy định tại Khoản 3 Mục III của Chương trình BDTX giáo viên cơ sở giáo dục phổ thông ban hành kèm theo Thông tư số 17/2019/TT-BGDĐT ngày 01/11/2019 của Bộ trưởng Bộ GD&amp;ĐT; - </w:t>
      </w:r>
      <w:r w:rsidRPr="00D7246E">
        <w:rPr>
          <w:rFonts w:ascii="Times New Roman" w:hAnsi="Times New Roman" w:cs="Times New Roman"/>
          <w:sz w:val="28"/>
          <w:szCs w:val="28"/>
        </w:rPr>
        <w:lastRenderedPageBreak/>
        <w:t xml:space="preserve">Thời lượng: Số lượng mô đun bồi dưỡng được chọn từ CBQL, GV phải đảm bảo đủ thời lượng 40 tiết. </w:t>
      </w:r>
    </w:p>
    <w:p w:rsidR="008E6A3A" w:rsidRPr="00EA067F" w:rsidRDefault="00D7246E"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rPr>
        <w:t xml:space="preserve">3. Loại hình tổ chức bồi dưỡng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Việc bồi dưỡng CBQL và GV được thực hiện theo quy định tại Thông tư số</w:t>
      </w:r>
      <w:r w:rsidR="00A046FA">
        <w:rPr>
          <w:rFonts w:ascii="Times New Roman" w:hAnsi="Times New Roman" w:cs="Times New Roman"/>
          <w:sz w:val="28"/>
          <w:szCs w:val="28"/>
        </w:rPr>
        <w:t xml:space="preserve"> 17</w:t>
      </w:r>
      <w:r w:rsidRPr="00D7246E">
        <w:rPr>
          <w:rFonts w:ascii="Times New Roman" w:hAnsi="Times New Roman" w:cs="Times New Roman"/>
          <w:sz w:val="28"/>
          <w:szCs w:val="28"/>
        </w:rPr>
        <w:t xml:space="preserve">/2019/TT-BGDĐT gồm các loại hình: tập trung, từ xa, bán tập trung.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Việc tổ chức công tác BDTX ở nhà trường được thực hiện linh hoạt, phù hợp với tình hình thực tế của địa phương; phải đảm bảo theo đúng quy định.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Thời gian BDTX Trong năm học 2022-2023. </w:t>
      </w:r>
    </w:p>
    <w:p w:rsidR="00A046FA" w:rsidRPr="00EA067F" w:rsidRDefault="00D7246E"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rPr>
        <w:t xml:space="preserve">VI. XẾP LOẠI VÀ CÔNG NHẬN KẾT QUẢ BDTX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1. Đánh giá kết quả BDTX đối với CBQL và GV Thực hiện theo Điều 11, Điều 12 của Thông tư số 19/2019/TT-BGDĐT.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2. Nội dung và hình thức đánh giá Đánh giá việc việc vận dụng kiến thức BDTX vào thực tiễn dạy học, giáo dục học sinh; thực tiễn quản lý cơ sở giáo dục phổ thông. Đánh giá thông qua hệ thống câu hỏi trắc nghiệm (đối với các nội dung lý thuyết), bài tập nghiên cứu, bài thu hoạch (đối với nội dung thực hành) đảm bảo các yêu cầu về mục tiêu, yêu cầu cần đạt và nội dung Chương trình BDTX. Bài kiểm tra lý thuyết, thực hành chấm theo thang điểm 10 và đạt yêu cầu khi đạt từ 5,0 điểm trở lên. Đối với các mô đun bồi dưỡng được đánh giá Đạt hoặc Không đạt.</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3. Xếp loại kết quả BDTX Hoàn thành kế hoạch BDTX: CBQL và GV được xếp loại hoàn thành kế hoạch BDTX khi đáp ứng các yêu cầu: </w:t>
      </w:r>
    </w:p>
    <w:p w:rsidR="00A046FA" w:rsidRDefault="00A046FA" w:rsidP="00EA067F">
      <w:pPr>
        <w:spacing w:line="276" w:lineRule="auto"/>
        <w:rPr>
          <w:rFonts w:ascii="Times New Roman" w:hAnsi="Times New Roman" w:cs="Times New Roman"/>
          <w:sz w:val="28"/>
          <w:szCs w:val="28"/>
        </w:rPr>
      </w:pPr>
      <w:r>
        <w:rPr>
          <w:rFonts w:ascii="Times New Roman" w:hAnsi="Times New Roman" w:cs="Times New Roman"/>
          <w:sz w:val="28"/>
          <w:szCs w:val="28"/>
          <w:lang w:val="en-US"/>
        </w:rPr>
        <w:t>C</w:t>
      </w:r>
      <w:r w:rsidR="00D7246E" w:rsidRPr="00D7246E">
        <w:rPr>
          <w:rFonts w:ascii="Times New Roman" w:hAnsi="Times New Roman" w:cs="Times New Roman"/>
          <w:sz w:val="28"/>
          <w:szCs w:val="28"/>
        </w:rPr>
        <w:t xml:space="preserve">hương trình 01 và Chương trình 02: Đối với nội dung bồi dưỡng Chính trị hè 2022 và hướng dẫn thực hiện nhiệm vụ giáo dục trung học cở sở năm học 2022-2023 nhà trường thực hiện nhiệm vụ bồi dưỡng CBQL và GV đánh giá là 5 Đạt hoặc thực hiện đầy đủ các nội dung và hoàn thành đủ các bài kiểm tra, bài thu hoạch với kết quả đạt yêu cầu trở lên; Tự bồi dưỡng qua mạng được hệ thống bồi dưỡng qua mạng đánh giá tự động là Đạt; được đội ngũ cốt cán, những người được giao nhiệm vụ hỗ trợ cho từng nhóm, đánh giá là Đạt.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Chương trình 03: các nội dung tự bồi dưỡng, bồi dưỡng trực tuyến, bồi dưỡng tập trung có đánh giá bằng bài kiểm tra lý thuyết, thực hành: Được các cơ sở thực hiện </w:t>
      </w:r>
      <w:r w:rsidRPr="00D7246E">
        <w:rPr>
          <w:rFonts w:ascii="Times New Roman" w:hAnsi="Times New Roman" w:cs="Times New Roman"/>
          <w:sz w:val="28"/>
          <w:szCs w:val="28"/>
        </w:rPr>
        <w:lastRenderedPageBreak/>
        <w:t xml:space="preserve">nhiệm vụ bồi dưỡng CBQL, GV đánh giá là Đạt hoặc thực hiện đầy đủ các nội dung và hoàn thành đủ các bài kiểm tra với kết quả đạt yêu cầu trở lên (đạt từ 5,0 điểm trở lên). Không hoàn thành kế hoạch BDTX: CBQL, GV không đáp ứng được các yêu cầu trên. Giáo viên, cán bộ quản lý được xếp loại hoàn thành kế hoạch BDTX thì được cấp chứng chỉ hoàn thành kế hoạch BDTX. Kết quả đánh giá BDTX được lưu vào hồ sơ và là căn cứ thực hiện chế độ, chính sách bồi dưỡng phát triển nghề nghiệp và sử dụng giáo viên, cán bộ quản lý. </w:t>
      </w:r>
    </w:p>
    <w:p w:rsidR="00A046FA" w:rsidRPr="00EA067F" w:rsidRDefault="00D7246E"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rPr>
        <w:t>V. KINH PHÍ</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Kinh phí BDTX được dự toán trong kinh phí chi thường xuyên hằng năm, từ kinh phí hỗ trợ của các chương trình, dự án hoặc từ các nguồn khác theo quy định của pháp luật (nếu có). </w:t>
      </w:r>
    </w:p>
    <w:p w:rsidR="00A046FA" w:rsidRPr="00EA067F" w:rsidRDefault="00D7246E"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rPr>
        <w:t xml:space="preserve">VI. TỔ CHỨC THỰC HIỆN </w:t>
      </w:r>
    </w:p>
    <w:p w:rsidR="00A046FA" w:rsidRPr="00EA067F" w:rsidRDefault="00D7246E"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rPr>
        <w:t xml:space="preserve">1. Trách nhiệm của Hiệu trưởng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Xây dựng kế hoạch BDTX của đơn vị, hướng dẫn giáo viên xây dựng kế hoạch BDTX; phê duyệt kế hoạch bồi dưỡng của giáo viên; xây dựng kế hoạch BDTX cán bộ quản lý, giáo viên của đơn vị và tổ chức triển khai kế hoạch BDTX theo thẩm quyền và trách nhiệm được giao. Nộp kế hoạch bồi dưỡng về</w:t>
      </w:r>
      <w:r w:rsidR="00A046FA">
        <w:rPr>
          <w:rFonts w:ascii="Times New Roman" w:hAnsi="Times New Roman" w:cs="Times New Roman"/>
          <w:sz w:val="28"/>
          <w:szCs w:val="28"/>
        </w:rPr>
        <w:t xml:space="preserve"> Phòng GD</w:t>
      </w:r>
      <w:r w:rsidRPr="00D7246E">
        <w:rPr>
          <w:rFonts w:ascii="Times New Roman" w:hAnsi="Times New Roman" w:cs="Times New Roman"/>
          <w:sz w:val="28"/>
          <w:szCs w:val="28"/>
        </w:rPr>
        <w:t>ĐT thành phố trước ngày 15/10/202</w:t>
      </w:r>
      <w:r w:rsidR="00A046FA">
        <w:rPr>
          <w:rFonts w:ascii="Times New Roman" w:hAnsi="Times New Roman" w:cs="Times New Roman"/>
          <w:sz w:val="28"/>
          <w:szCs w:val="28"/>
          <w:lang w:val="en-US"/>
        </w:rPr>
        <w:t>2</w:t>
      </w:r>
      <w:r w:rsidRPr="00D7246E">
        <w:rPr>
          <w:rFonts w:ascii="Times New Roman" w:hAnsi="Times New Roman" w:cs="Times New Roman"/>
          <w:sz w:val="28"/>
          <w:szCs w:val="28"/>
        </w:rPr>
        <w:t xml:space="preserve"> (01 bản in) và qua E-mail.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Tổ chức đánh giá kết quả BDTX giáo viên nghiêm túc, khách quan, công bằng, chính xác.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Thực hiện chế độ, chính sách của Nhà nước và của địa phương đối với giáo viên tham gia BDTX.</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 Đề nghị các cấp có thẩm quyền quyết định khen thưởng hoặc xử lý kỷ luật đối với tổ chức, cá nhân có thành tích hoặc vi phạm trong việc thực hiện công tác BDTX.</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 Tổ chức đánh giá, tổng hợp, xếp loại và thực hiện báo cáo kết quả và đề nghị cấp giấy chứng nhận BDTX năm học 2022-2023 của đơn vị về</w:t>
      </w:r>
      <w:r w:rsidR="00A046FA">
        <w:rPr>
          <w:rFonts w:ascii="Times New Roman" w:hAnsi="Times New Roman" w:cs="Times New Roman"/>
          <w:sz w:val="28"/>
          <w:szCs w:val="28"/>
        </w:rPr>
        <w:t xml:space="preserve"> Phòng GD</w:t>
      </w:r>
      <w:r w:rsidRPr="00D7246E">
        <w:rPr>
          <w:rFonts w:ascii="Times New Roman" w:hAnsi="Times New Roman" w:cs="Times New Roman"/>
          <w:sz w:val="28"/>
          <w:szCs w:val="28"/>
        </w:rPr>
        <w:t xml:space="preserve">ĐT trước ngày 25/5/2023.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Thực hiện chế độ, chính sách đối với giáo viên, cán bộ quản lý tham gia BDTX theo quy định. 6 2. </w:t>
      </w:r>
    </w:p>
    <w:p w:rsidR="00A046FA" w:rsidRPr="00EA067F" w:rsidRDefault="00A046FA" w:rsidP="00EA067F">
      <w:pPr>
        <w:spacing w:line="276" w:lineRule="auto"/>
        <w:rPr>
          <w:rFonts w:ascii="Times New Roman" w:hAnsi="Times New Roman" w:cs="Times New Roman"/>
          <w:b/>
          <w:sz w:val="28"/>
          <w:szCs w:val="28"/>
        </w:rPr>
      </w:pPr>
      <w:r w:rsidRPr="00EA067F">
        <w:rPr>
          <w:rFonts w:ascii="Times New Roman" w:hAnsi="Times New Roman" w:cs="Times New Roman"/>
          <w:b/>
          <w:sz w:val="28"/>
          <w:szCs w:val="28"/>
          <w:lang w:val="en-US"/>
        </w:rPr>
        <w:lastRenderedPageBreak/>
        <w:t xml:space="preserve">2. </w:t>
      </w:r>
      <w:r w:rsidR="00D7246E" w:rsidRPr="00EA067F">
        <w:rPr>
          <w:rFonts w:ascii="Times New Roman" w:hAnsi="Times New Roman" w:cs="Times New Roman"/>
          <w:b/>
          <w:sz w:val="28"/>
          <w:szCs w:val="28"/>
        </w:rPr>
        <w:t xml:space="preserve">Trách nhiệm của tổ trưởng chuyên môn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Xây dựng kế hoạch cá nhân, hướng dẫn giáo viên xây dựng kế hoạch BDTX năm học 2022-2023 đúng theo kế hoạch của nhà trường.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Kiểm duyệt kế hoạch các thành viên trong tổ, trình Hiệu trưởng phê duyệt của cá nhân và các thành viên trong tổ hạn chót ngày 22/10/2022. </w:t>
      </w:r>
    </w:p>
    <w:p w:rsidR="00A046FA" w:rsidRPr="00EA067F" w:rsidRDefault="00D7246E" w:rsidP="00EA067F">
      <w:pPr>
        <w:spacing w:line="276" w:lineRule="auto"/>
        <w:rPr>
          <w:rFonts w:ascii="Times New Roman" w:hAnsi="Times New Roman" w:cs="Times New Roman"/>
          <w:b/>
          <w:sz w:val="28"/>
          <w:szCs w:val="28"/>
        </w:rPr>
      </w:pPr>
      <w:r w:rsidRPr="00D7246E">
        <w:rPr>
          <w:rFonts w:ascii="Times New Roman" w:hAnsi="Times New Roman" w:cs="Times New Roman"/>
          <w:sz w:val="28"/>
          <w:szCs w:val="28"/>
        </w:rPr>
        <w:t xml:space="preserve">- Tham gia ra đề, chấm các bài kiểm tra theo quyết định điều động của Hiệu trưởng </w:t>
      </w:r>
      <w:r w:rsidRPr="00EA067F">
        <w:rPr>
          <w:rFonts w:ascii="Times New Roman" w:hAnsi="Times New Roman" w:cs="Times New Roman"/>
          <w:b/>
          <w:sz w:val="28"/>
          <w:szCs w:val="28"/>
        </w:rPr>
        <w:t xml:space="preserve">3. Trách nhiệm của giáo viên </w:t>
      </w:r>
    </w:p>
    <w:p w:rsidR="00A046FA" w:rsidRDefault="00D7246E" w:rsidP="00EA067F">
      <w:pPr>
        <w:spacing w:line="276" w:lineRule="auto"/>
        <w:rPr>
          <w:rFonts w:ascii="Times New Roman" w:hAnsi="Times New Roman" w:cs="Times New Roman"/>
          <w:sz w:val="28"/>
          <w:szCs w:val="28"/>
        </w:rPr>
      </w:pPr>
      <w:r w:rsidRPr="00D7246E">
        <w:rPr>
          <w:rFonts w:ascii="Times New Roman" w:hAnsi="Times New Roman" w:cs="Times New Roman"/>
          <w:sz w:val="28"/>
          <w:szCs w:val="28"/>
        </w:rPr>
        <w:t xml:space="preserve">- Xây dựng và hoàn thành kế hoạch BDTX của cá nhân nộp về tổ trưởng hạn chót ngày 20/10/2022; nghiêm chỉnh thực hiện các quy định về BDTX của các cơ quan quản lý giáo dục, của cơ sở giáo dục thực hiện nhiệm vụ BDTX, của nhà trường. - Thực hiện các bài kiểm tra lý thuyết; tham gia tập huấn trực tuyến; báo cáo tổ chuyên môn, lãnh đạo nhà trường kết quả thực hiện kế hoạch BDTX của cá nhân và việc vận dụng những kiến thức, kỹ năng đã học tập BDTX vào quá trình thực hiện nhiệm vụ. </w:t>
      </w:r>
    </w:p>
    <w:p w:rsidR="008C7534" w:rsidRPr="00A046FA" w:rsidRDefault="00D7246E" w:rsidP="00EA067F">
      <w:pPr>
        <w:spacing w:line="276" w:lineRule="auto"/>
        <w:rPr>
          <w:rFonts w:ascii="Times New Roman" w:hAnsi="Times New Roman" w:cs="Times New Roman"/>
          <w:sz w:val="28"/>
          <w:szCs w:val="28"/>
          <w:lang w:val="en-US"/>
        </w:rPr>
      </w:pPr>
      <w:r w:rsidRPr="00D7246E">
        <w:rPr>
          <w:rFonts w:ascii="Times New Roman" w:hAnsi="Times New Roman" w:cs="Times New Roman"/>
          <w:sz w:val="28"/>
          <w:szCs w:val="28"/>
        </w:rPr>
        <w:t>Trên đây là Kế hoạch BDTX cán bộ quản lý, giáo viên năm học 2022-2023</w:t>
      </w:r>
      <w:r w:rsidR="00A046FA">
        <w:rPr>
          <w:rFonts w:ascii="Times New Roman" w:hAnsi="Times New Roman" w:cs="Times New Roman"/>
          <w:sz w:val="28"/>
          <w:szCs w:val="28"/>
          <w:lang w:val="en-US"/>
        </w:rPr>
        <w:t xml:space="preserve"> của Trường tiểu học Tam Đông./.</w:t>
      </w:r>
    </w:p>
    <w:tbl>
      <w:tblPr>
        <w:tblW w:w="5000" w:type="pct"/>
        <w:jc w:val="center"/>
        <w:tblLook w:val="04A0" w:firstRow="1" w:lastRow="0" w:firstColumn="1" w:lastColumn="0" w:noHBand="0" w:noVBand="1"/>
      </w:tblPr>
      <w:tblGrid>
        <w:gridCol w:w="4753"/>
        <w:gridCol w:w="4607"/>
      </w:tblGrid>
      <w:tr w:rsidR="00A046FA" w:rsidRPr="001737B7" w:rsidTr="00C03596">
        <w:trPr>
          <w:jc w:val="center"/>
        </w:trPr>
        <w:tc>
          <w:tcPr>
            <w:tcW w:w="2539" w:type="pct"/>
          </w:tcPr>
          <w:p w:rsidR="00A046FA" w:rsidRPr="00A046FA" w:rsidRDefault="00A046FA" w:rsidP="00EA067F">
            <w:pPr>
              <w:widowControl w:val="0"/>
              <w:spacing w:before="120" w:after="120" w:line="276" w:lineRule="auto"/>
              <w:jc w:val="both"/>
              <w:rPr>
                <w:rFonts w:ascii="Times New Roman" w:hAnsi="Times New Roman" w:cs="Times New Roman"/>
                <w:b/>
                <w:i/>
              </w:rPr>
            </w:pPr>
            <w:r w:rsidRPr="00A046FA">
              <w:rPr>
                <w:rFonts w:ascii="Times New Roman" w:hAnsi="Times New Roman" w:cs="Times New Roman"/>
              </w:rPr>
              <w:t xml:space="preserve">   </w:t>
            </w:r>
            <w:r w:rsidRPr="00A046FA">
              <w:rPr>
                <w:rFonts w:ascii="Times New Roman" w:hAnsi="Times New Roman" w:cs="Times New Roman"/>
                <w:b/>
                <w:i/>
              </w:rPr>
              <w:t>Nơi nhận:</w:t>
            </w:r>
          </w:p>
          <w:p w:rsidR="00A046FA" w:rsidRPr="00A046FA" w:rsidRDefault="00A046FA" w:rsidP="00EA067F">
            <w:pPr>
              <w:widowControl w:val="0"/>
              <w:spacing w:before="120" w:after="120" w:line="276" w:lineRule="auto"/>
              <w:jc w:val="both"/>
              <w:rPr>
                <w:rFonts w:ascii="Times New Roman" w:hAnsi="Times New Roman" w:cs="Times New Roman"/>
              </w:rPr>
            </w:pPr>
            <w:r>
              <w:rPr>
                <w:rFonts w:ascii="Times New Roman" w:hAnsi="Times New Roman" w:cs="Times New Roman"/>
              </w:rPr>
              <w:t>- Phòng GD</w:t>
            </w:r>
            <w:r w:rsidRPr="00A046FA">
              <w:rPr>
                <w:rFonts w:ascii="Times New Roman" w:hAnsi="Times New Roman" w:cs="Times New Roman"/>
              </w:rPr>
              <w:t xml:space="preserve">ĐT; </w:t>
            </w:r>
          </w:p>
          <w:p w:rsidR="00A046FA" w:rsidRPr="00A046FA" w:rsidRDefault="00EA067F" w:rsidP="00EA067F">
            <w:pPr>
              <w:widowControl w:val="0"/>
              <w:spacing w:before="120" w:after="120" w:line="276" w:lineRule="auto"/>
              <w:jc w:val="both"/>
              <w:rPr>
                <w:rFonts w:ascii="Times New Roman" w:hAnsi="Times New Roman" w:cs="Times New Roman"/>
              </w:rPr>
            </w:pPr>
            <w:r>
              <w:rPr>
                <w:rFonts w:ascii="Times New Roman" w:hAnsi="Times New Roman" w:cs="Times New Roman"/>
              </w:rPr>
              <w:t>- T</w:t>
            </w:r>
            <w:bookmarkStart w:id="0" w:name="_GoBack"/>
            <w:bookmarkEnd w:id="0"/>
            <w:r w:rsidR="00A046FA" w:rsidRPr="00A046FA">
              <w:rPr>
                <w:rFonts w:ascii="Times New Roman" w:hAnsi="Times New Roman" w:cs="Times New Roman"/>
                <w:lang w:val="en-US"/>
              </w:rPr>
              <w:t>T</w:t>
            </w:r>
            <w:r w:rsidR="00A046FA" w:rsidRPr="00A046FA">
              <w:rPr>
                <w:rFonts w:ascii="Times New Roman" w:hAnsi="Times New Roman" w:cs="Times New Roman"/>
              </w:rPr>
              <w:t>CM;</w:t>
            </w:r>
          </w:p>
          <w:p w:rsidR="00A046FA" w:rsidRPr="00A046FA" w:rsidRDefault="00A046FA" w:rsidP="00EA067F">
            <w:pPr>
              <w:widowControl w:val="0"/>
              <w:spacing w:before="120" w:after="120" w:line="276" w:lineRule="auto"/>
              <w:jc w:val="both"/>
              <w:rPr>
                <w:rFonts w:ascii="Times New Roman" w:hAnsi="Times New Roman" w:cs="Times New Roman"/>
                <w:b/>
                <w:i/>
              </w:rPr>
            </w:pPr>
            <w:r w:rsidRPr="00A046FA">
              <w:rPr>
                <w:rFonts w:ascii="Times New Roman" w:hAnsi="Times New Roman" w:cs="Times New Roman"/>
              </w:rPr>
              <w:t>- Lưu: VT.</w:t>
            </w:r>
          </w:p>
        </w:tc>
        <w:tc>
          <w:tcPr>
            <w:tcW w:w="2461" w:type="pct"/>
          </w:tcPr>
          <w:p w:rsidR="00A046FA" w:rsidRPr="00A046FA" w:rsidRDefault="00A046FA" w:rsidP="00EA067F">
            <w:pPr>
              <w:widowControl w:val="0"/>
              <w:spacing w:before="120" w:after="120" w:line="276" w:lineRule="auto"/>
              <w:jc w:val="center"/>
              <w:rPr>
                <w:rFonts w:ascii="Times New Roman" w:hAnsi="Times New Roman" w:cs="Times New Roman"/>
                <w:b/>
                <w:sz w:val="28"/>
                <w:szCs w:val="28"/>
              </w:rPr>
            </w:pPr>
            <w:r w:rsidRPr="00A046FA">
              <w:rPr>
                <w:rFonts w:ascii="Times New Roman" w:hAnsi="Times New Roman" w:cs="Times New Roman"/>
                <w:b/>
                <w:sz w:val="28"/>
                <w:szCs w:val="28"/>
              </w:rPr>
              <w:t>HIỆU TRƯỞNG</w:t>
            </w:r>
          </w:p>
          <w:p w:rsidR="00A046FA" w:rsidRPr="00A046FA" w:rsidRDefault="00A046FA" w:rsidP="00EA067F">
            <w:pPr>
              <w:widowControl w:val="0"/>
              <w:spacing w:before="120" w:after="120" w:line="276" w:lineRule="auto"/>
              <w:jc w:val="center"/>
              <w:rPr>
                <w:rFonts w:ascii="Times New Roman" w:hAnsi="Times New Roman" w:cs="Times New Roman"/>
                <w:b/>
                <w:sz w:val="28"/>
                <w:szCs w:val="28"/>
              </w:rPr>
            </w:pPr>
          </w:p>
          <w:p w:rsidR="00A046FA" w:rsidRPr="00A046FA" w:rsidRDefault="00A046FA" w:rsidP="00EA067F">
            <w:pPr>
              <w:widowControl w:val="0"/>
              <w:spacing w:before="120" w:after="120" w:line="276" w:lineRule="auto"/>
              <w:jc w:val="center"/>
              <w:rPr>
                <w:rFonts w:ascii="Times New Roman" w:hAnsi="Times New Roman" w:cs="Times New Roman"/>
                <w:b/>
                <w:sz w:val="28"/>
                <w:szCs w:val="28"/>
              </w:rPr>
            </w:pPr>
          </w:p>
          <w:p w:rsidR="00A046FA" w:rsidRPr="00A046FA" w:rsidRDefault="00A046FA" w:rsidP="00EA067F">
            <w:pPr>
              <w:widowControl w:val="0"/>
              <w:spacing w:before="120" w:after="120" w:line="276" w:lineRule="auto"/>
              <w:jc w:val="center"/>
              <w:rPr>
                <w:rFonts w:ascii="Times New Roman" w:hAnsi="Times New Roman" w:cs="Times New Roman"/>
                <w:b/>
                <w:sz w:val="28"/>
                <w:szCs w:val="28"/>
              </w:rPr>
            </w:pPr>
          </w:p>
          <w:p w:rsidR="00A046FA" w:rsidRPr="00A046FA" w:rsidRDefault="00A046FA" w:rsidP="00EA067F">
            <w:pPr>
              <w:widowControl w:val="0"/>
              <w:spacing w:before="120" w:after="120" w:line="276" w:lineRule="auto"/>
              <w:rPr>
                <w:rFonts w:ascii="Times New Roman" w:hAnsi="Times New Roman" w:cs="Times New Roman"/>
                <w:b/>
                <w:sz w:val="28"/>
                <w:szCs w:val="28"/>
              </w:rPr>
            </w:pPr>
            <w:r w:rsidRPr="00A046FA">
              <w:rPr>
                <w:rFonts w:ascii="Times New Roman" w:hAnsi="Times New Roman" w:cs="Times New Roman"/>
                <w:b/>
                <w:sz w:val="28"/>
                <w:szCs w:val="28"/>
              </w:rPr>
              <w:t xml:space="preserve">                 Trần Thị Phụng</w:t>
            </w:r>
          </w:p>
        </w:tc>
      </w:tr>
    </w:tbl>
    <w:p w:rsidR="00A046FA" w:rsidRPr="00D7246E" w:rsidRDefault="00A046FA" w:rsidP="008E6A3A">
      <w:pPr>
        <w:rPr>
          <w:rFonts w:ascii="Times New Roman" w:hAnsi="Times New Roman" w:cs="Times New Roman"/>
          <w:sz w:val="28"/>
          <w:szCs w:val="28"/>
        </w:rPr>
      </w:pPr>
    </w:p>
    <w:sectPr w:rsidR="00A046FA" w:rsidRPr="00D72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9F2"/>
    <w:multiLevelType w:val="hybridMultilevel"/>
    <w:tmpl w:val="4E7C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B5226"/>
    <w:multiLevelType w:val="hybridMultilevel"/>
    <w:tmpl w:val="C61A5B24"/>
    <w:lvl w:ilvl="0" w:tplc="1512D3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FA4211"/>
    <w:multiLevelType w:val="hybridMultilevel"/>
    <w:tmpl w:val="420E97AE"/>
    <w:lvl w:ilvl="0" w:tplc="ECF070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6E"/>
    <w:rsid w:val="007140BF"/>
    <w:rsid w:val="008C7534"/>
    <w:rsid w:val="008E6A3A"/>
    <w:rsid w:val="00A046FA"/>
    <w:rsid w:val="00D7246E"/>
    <w:rsid w:val="00EA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98053-7236-4667-8894-0FEFAF84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0A4F-9129-4EF1-9620-6A708EB4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2023-04-29T10:02:00Z</dcterms:created>
  <dcterms:modified xsi:type="dcterms:W3CDTF">2023-05-04T03:32:00Z</dcterms:modified>
</cp:coreProperties>
</file>